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7" w:rsidRPr="00CC19D7" w:rsidRDefault="00CC19D7" w:rsidP="00CC19D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9D7">
        <w:rPr>
          <w:rFonts w:ascii="Times New Roman" w:hAnsi="Times New Roman" w:cs="Times New Roman"/>
          <w:sz w:val="24"/>
          <w:szCs w:val="24"/>
        </w:rPr>
        <w:t>SMO – UGP/CAF – CONCORRÊNCIA PÚBLICA: 001/2021</w:t>
      </w:r>
    </w:p>
    <w:p w:rsidR="00CC19D7" w:rsidRPr="00CC19D7" w:rsidRDefault="00CC19D7" w:rsidP="00CC19D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9D7" w:rsidRPr="00CC19D7" w:rsidRDefault="00CC19D7" w:rsidP="00CC19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hAnsi="Times New Roman" w:cs="Times New Roman"/>
          <w:sz w:val="24"/>
          <w:szCs w:val="24"/>
        </w:rPr>
        <w:t>QUESTIONAMENTO 02</w:t>
      </w:r>
    </w:p>
    <w:p w:rsidR="00CC19D7" w:rsidRPr="00CC19D7" w:rsidRDefault="00CC19D7" w:rsidP="00CC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CC19D7" w:rsidRPr="00CC19D7" w:rsidRDefault="00CC19D7" w:rsidP="00CC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CC19D7" w:rsidRPr="00CC19D7" w:rsidRDefault="00CC19D7" w:rsidP="00CC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A27041" w:rsidRPr="00CC19D7" w:rsidRDefault="00A27041" w:rsidP="00CC1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9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1ª Questão:</w:t>
      </w:r>
      <w:r w:rsidRPr="00CC1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edital define claramente que o regime de contratação da obra será </w:t>
      </w:r>
      <w:proofErr w:type="gramStart"/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 </w:t>
      </w:r>
      <w:proofErr w:type="gramEnd"/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>empreitada por preço global”, entretanto a minuta do contrato anexada ao edital em sua clausula 4ª paragrafo 11º diz:</w:t>
      </w: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9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“PÁRAGRAFO DÉCIMO - PRIMEIRO – Somente serão pagos os quantitativos efetivamente medidos pela fiscalização, justificando-se nos autos toda e qualquer divergência em relação à estimativa.”</w:t>
      </w: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se tratar de empreitada por preço global entendemos que </w:t>
      </w:r>
      <w:proofErr w:type="gramStart"/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medido</w:t>
      </w:r>
      <w:proofErr w:type="gramEnd"/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quantitativos totais da planilha contratual independente de variações definidas no projeto executivo ou situação de campo, está correto nosso entendimento?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Esclarecimento:</w:t>
      </w:r>
    </w:p>
    <w:p w:rsidR="00F67478" w:rsidRPr="00CC19D7" w:rsidRDefault="00F67478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 empreitada por preço global é adotada quando é possível definir previamente no projeto, com boa margem de precisão, as quantidades dos serviços a serem executados. </w:t>
      </w:r>
      <w:r w:rsidR="0093043F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Sendo os serviços efetivamente </w:t>
      </w:r>
      <w:r w:rsidR="003B1241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medidos </w:t>
      </w:r>
      <w:r w:rsidR="0093043F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conforme </w:t>
      </w:r>
      <w:r w:rsidR="003B1241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realizado </w:t>
      </w:r>
      <w:r w:rsidR="005725E8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 previsto n</w:t>
      </w:r>
      <w:r w:rsidR="0093043F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o cronograma físico-financeiro. </w:t>
      </w:r>
    </w:p>
    <w:p w:rsidR="0093043F" w:rsidRPr="00CC19D7" w:rsidRDefault="0093043F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Caso algum item </w:t>
      </w:r>
      <w:r w:rsidR="005725E8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de obras </w:t>
      </w: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não seja realizado este não será medido, sendo </w:t>
      </w:r>
      <w:r w:rsidR="003B1241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ainda </w:t>
      </w: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o contratado obrigado a realizar todos os componentes da </w:t>
      </w:r>
      <w:r w:rsidR="003B1241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o</w:t>
      </w: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bra.</w:t>
      </w:r>
    </w:p>
    <w:p w:rsidR="0093043F" w:rsidRPr="00CC19D7" w:rsidRDefault="0093043F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9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2ª Questão:</w:t>
      </w:r>
      <w:r w:rsidRPr="00CC1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>A minuta do contrato em sua clausula 16ª paragrafo 2º define:</w:t>
      </w: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9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“As medições dos serviços corresponderão àqueles efetivamente realizados e seu perfeito cumprimento, </w:t>
      </w:r>
      <w:r w:rsidRPr="00CC19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consoante o regime de execução por preço unitário adotado</w:t>
      </w:r>
      <w:r w:rsidRPr="00CC19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cabendo à fiscalização efetuar os levantamentos dos serviços executados. Será elaborada memória de cálculo das medições (elaboração dos croquis de cálculo das quantidades medidas) com identificação dos locais da sua realização.”</w:t>
      </w: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>A clausula</w:t>
      </w:r>
      <w:proofErr w:type="gramEnd"/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apenas conflita explicitamente com o edital citando o regime de execução por preço unitário, como não está de acordo com o espirito de contratação por regime de empreitada por preço global (definido no edital) uma vez que associa o valor da medição aos serviços executados lançando duvida se será medido nos quantitativos contratados independente de variações nas quantidades executadas.  Está correto nosso entendimento?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</w:t>
      </w: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:</w:t>
      </w:r>
    </w:p>
    <w:p w:rsidR="0093043F" w:rsidRPr="00CC19D7" w:rsidRDefault="0093043F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 medição dos serviços é precificada conforme os respectivos quantitativos, em avaliação técnica da construção de um conjunto realizado. Os quantitativos existentes em planilha servem como orientação para o preço de cada conjunto. </w:t>
      </w:r>
    </w:p>
    <w:p w:rsidR="0093043F" w:rsidRPr="00CC19D7" w:rsidRDefault="0093043F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Em melhor esclarecimento:</w:t>
      </w:r>
    </w:p>
    <w:p w:rsidR="0093043F" w:rsidRPr="00CC19D7" w:rsidRDefault="0093043F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 xml:space="preserve">Não será mensurada a quantidade de ferragens fornecidas para a execução de uma fundação, mas sim um quantitativo de fundação realizada, </w:t>
      </w:r>
      <w:r w:rsidR="005725E8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que</w:t>
      </w: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é composta por vários itens, sendo as</w:t>
      </w:r>
      <w:r w:rsidR="005725E8"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ferragens apenas um item específico desta composição. </w:t>
      </w: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7041" w:rsidRPr="00CC19D7" w:rsidRDefault="00A27041" w:rsidP="00CC19D7">
      <w:pPr>
        <w:shd w:val="clear" w:color="auto" w:fill="FFFFFF"/>
        <w:spacing w:after="24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9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3ª Questão:</w:t>
      </w:r>
      <w:r w:rsidRPr="00CC1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  <w:r w:rsidRPr="00CC19D7">
        <w:rPr>
          <w:rFonts w:ascii="Times New Roman" w:eastAsia="Times New Roman" w:hAnsi="Times New Roman" w:cs="Times New Roman"/>
          <w:sz w:val="24"/>
          <w:szCs w:val="24"/>
          <w:lang w:eastAsia="pt-BR"/>
        </w:rPr>
        <w:t>A licenças relativas ao objeto a ser executado junto a órgãos ambientais (municipal, estadual, federal), Marinha do Brasil, Corpo de bombeiros e prefeitura são de responsabilidade da Contratante?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</w:t>
      </w: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:</w:t>
      </w:r>
    </w:p>
    <w:p w:rsidR="00A27041" w:rsidRPr="00CC19D7" w:rsidRDefault="00A27041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Conforme item 11 do Edital, as licenças são de responsabilidade da CONTRATADA:</w:t>
      </w:r>
    </w:p>
    <w:p w:rsidR="00A27041" w:rsidRPr="00CC19D7" w:rsidRDefault="00A27041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“</w:t>
      </w:r>
      <w:proofErr w:type="gramStart"/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11.</w:t>
      </w:r>
      <w:proofErr w:type="gramEnd"/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TAXAS E LICENÇAS</w:t>
      </w:r>
    </w:p>
    <w:p w:rsidR="00A27041" w:rsidRPr="00CC19D7" w:rsidRDefault="00A27041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proofErr w:type="gramStart"/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 CONTRATADA se encarregará de obter junto a todos os órgãos competentes todas as licenças e providências que se fizerem necessárias para o início e andamento dos serviços.”</w:t>
      </w:r>
      <w:proofErr w:type="gramEnd"/>
    </w:p>
    <w:p w:rsidR="00CC19D7" w:rsidRPr="00CC19D7" w:rsidRDefault="00CC19D7" w:rsidP="00CC19D7">
      <w:pPr>
        <w:spacing w:before="225" w:after="225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</w:p>
    <w:p w:rsidR="00A27041" w:rsidRPr="00CC19D7" w:rsidRDefault="00A27041" w:rsidP="00CC19D7">
      <w:pPr>
        <w:pStyle w:val="NormalWeb"/>
        <w:spacing w:after="240" w:afterAutospacing="0" w:line="230" w:lineRule="atLeast"/>
        <w:jc w:val="both"/>
        <w:rPr>
          <w:shd w:val="clear" w:color="auto" w:fill="FFFFFF"/>
        </w:rPr>
      </w:pPr>
      <w:r w:rsidRPr="00CC19D7">
        <w:rPr>
          <w:rStyle w:val="Forte"/>
          <w:b w:val="0"/>
          <w:u w:val="single"/>
          <w:shd w:val="clear" w:color="auto" w:fill="FFFFFF"/>
        </w:rPr>
        <w:t>4ª Questão:</w:t>
      </w:r>
      <w:r w:rsidRPr="00CC19D7">
        <w:rPr>
          <w:rStyle w:val="Forte"/>
          <w:b w:val="0"/>
          <w:shd w:val="clear" w:color="auto" w:fill="FFFFFF"/>
        </w:rPr>
        <w:t> </w:t>
      </w:r>
      <w:r w:rsidRPr="00CC19D7">
        <w:rPr>
          <w:shd w:val="clear" w:color="auto" w:fill="FFFFFF"/>
        </w:rPr>
        <w:t xml:space="preserve">Uma vez que não foram apresentadas as composições de preços relativas </w:t>
      </w:r>
      <w:proofErr w:type="gramStart"/>
      <w:r w:rsidRPr="00CC19D7">
        <w:rPr>
          <w:shd w:val="clear" w:color="auto" w:fill="FFFFFF"/>
        </w:rPr>
        <w:t>a</w:t>
      </w:r>
      <w:proofErr w:type="gramEnd"/>
      <w:r w:rsidRPr="00CC19D7">
        <w:rPr>
          <w:shd w:val="clear" w:color="auto" w:fill="FFFFFF"/>
        </w:rPr>
        <w:t xml:space="preserve"> execução de estaca hélice (itens 3.1 a 3.6 da pasta CONTENÇÃO), Solicitamos informar em qual item foi considerada a construção da mureta guia para locação/execução das estacas hélices.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Esclarecimento:</w:t>
      </w:r>
    </w:p>
    <w:p w:rsidR="00A27041" w:rsidRPr="00CC19D7" w:rsidRDefault="00A27041" w:rsidP="00CC19D7">
      <w:pPr>
        <w:pStyle w:val="NormalWeb"/>
        <w:spacing w:after="240" w:afterAutospacing="0" w:line="230" w:lineRule="atLeast"/>
        <w:jc w:val="both"/>
        <w:rPr>
          <w:b/>
          <w:shd w:val="clear" w:color="auto" w:fill="FFFFFF"/>
        </w:rPr>
      </w:pPr>
      <w:r w:rsidRPr="00CC19D7">
        <w:rPr>
          <w:b/>
          <w:shd w:val="clear" w:color="auto" w:fill="FFFFFF"/>
        </w:rPr>
        <w:t xml:space="preserve">Para composição de preço da execução da Estaca Hélice Secante, estando estes presentes nos itens 3.1 </w:t>
      </w:r>
      <w:proofErr w:type="gramStart"/>
      <w:r w:rsidRPr="00CC19D7">
        <w:rPr>
          <w:b/>
          <w:shd w:val="clear" w:color="auto" w:fill="FFFFFF"/>
        </w:rPr>
        <w:t>à</w:t>
      </w:r>
      <w:proofErr w:type="gramEnd"/>
      <w:r w:rsidRPr="00CC19D7">
        <w:rPr>
          <w:b/>
          <w:shd w:val="clear" w:color="auto" w:fill="FFFFFF"/>
        </w:rPr>
        <w:t xml:space="preserve"> 3.6 da Planilha CONTENÇÃO, foram realizadas cotações com 3 empresas atuantes no mercado. </w:t>
      </w:r>
    </w:p>
    <w:p w:rsidR="00A27041" w:rsidRPr="00CC19D7" w:rsidRDefault="00A27041" w:rsidP="00CC19D7">
      <w:pPr>
        <w:pStyle w:val="NormalWeb"/>
        <w:shd w:val="clear" w:color="auto" w:fill="FFFFFF"/>
        <w:spacing w:after="240" w:afterAutospacing="0" w:line="230" w:lineRule="atLeast"/>
        <w:jc w:val="both"/>
        <w:rPr>
          <w:b/>
          <w:shd w:val="clear" w:color="auto" w:fill="FFFFFF"/>
        </w:rPr>
      </w:pPr>
      <w:r w:rsidRPr="00CC19D7">
        <w:rPr>
          <w:b/>
          <w:shd w:val="clear" w:color="auto" w:fill="FFFFFF"/>
        </w:rPr>
        <w:t>A construção da mureta guia se encontra contemplada no item 3.2 da Planilha CONTENÇÃO.</w:t>
      </w:r>
    </w:p>
    <w:p w:rsidR="00CC19D7" w:rsidRPr="00CC19D7" w:rsidRDefault="00CC19D7" w:rsidP="00CC19D7">
      <w:pPr>
        <w:pStyle w:val="NormalWeb"/>
        <w:shd w:val="clear" w:color="auto" w:fill="FFFFFF"/>
        <w:spacing w:after="240" w:afterAutospacing="0" w:line="230" w:lineRule="atLeast"/>
        <w:jc w:val="both"/>
        <w:rPr>
          <w:b/>
          <w:shd w:val="clear" w:color="auto" w:fill="FFFFFF"/>
        </w:rPr>
      </w:pPr>
    </w:p>
    <w:p w:rsidR="00A27041" w:rsidRPr="00CC19D7" w:rsidRDefault="00A27041" w:rsidP="00CC19D7">
      <w:pPr>
        <w:pStyle w:val="NormalWeb"/>
        <w:jc w:val="both"/>
        <w:rPr>
          <w:shd w:val="clear" w:color="auto" w:fill="FFFFFF"/>
        </w:rPr>
      </w:pPr>
      <w:r w:rsidRPr="00CC19D7">
        <w:rPr>
          <w:rStyle w:val="Forte"/>
          <w:b w:val="0"/>
          <w:u w:val="single"/>
          <w:shd w:val="clear" w:color="auto" w:fill="FFFFFF"/>
        </w:rPr>
        <w:t>5ª Questão:</w:t>
      </w:r>
      <w:r w:rsidRPr="00CC19D7">
        <w:rPr>
          <w:rStyle w:val="Forte"/>
          <w:b w:val="0"/>
          <w:shd w:val="clear" w:color="auto" w:fill="FFFFFF"/>
        </w:rPr>
        <w:t> </w:t>
      </w:r>
      <w:r w:rsidRPr="00CC19D7">
        <w:rPr>
          <w:shd w:val="clear" w:color="auto" w:fill="FFFFFF"/>
        </w:rPr>
        <w:t>O item 2.7 da planilha CONTENÇÃO utiliza a composição 11.023.0005-0 da EMOP. Esta composição se refere apenas ao FORNECIMENTO de tela para estrutura de concreto armado, solicitamos informar como será paga a COLOCAÇÃO da tela.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Esclarecimento:</w:t>
      </w:r>
    </w:p>
    <w:p w:rsidR="00A27041" w:rsidRPr="00CC19D7" w:rsidRDefault="00A27041" w:rsidP="00CC19D7">
      <w:pPr>
        <w:pStyle w:val="NormalWeb"/>
        <w:jc w:val="both"/>
        <w:rPr>
          <w:b/>
          <w:shd w:val="clear" w:color="auto" w:fill="FFFFFF"/>
        </w:rPr>
      </w:pPr>
      <w:r w:rsidRPr="00CC19D7">
        <w:rPr>
          <w:b/>
          <w:shd w:val="clear" w:color="auto" w:fill="FFFFFF"/>
        </w:rPr>
        <w:t>Para a execução deste serviço a planilha CANTEIRO DE OBRAS, prevê em seu item 2.2 a mão de obra de ajudante.</w:t>
      </w:r>
    </w:p>
    <w:p w:rsidR="00CC19D7" w:rsidRPr="00CC19D7" w:rsidRDefault="00CC19D7" w:rsidP="00CC19D7">
      <w:pPr>
        <w:pStyle w:val="NormalWeb"/>
        <w:jc w:val="both"/>
        <w:rPr>
          <w:b/>
          <w:shd w:val="clear" w:color="auto" w:fill="FFFFFF"/>
        </w:rPr>
      </w:pPr>
      <w:bookmarkStart w:id="0" w:name="_GoBack"/>
      <w:bookmarkEnd w:id="0"/>
    </w:p>
    <w:p w:rsidR="00A27041" w:rsidRPr="00CC19D7" w:rsidRDefault="00A27041" w:rsidP="00CC19D7">
      <w:pPr>
        <w:pStyle w:val="NormalWeb"/>
        <w:jc w:val="both"/>
        <w:rPr>
          <w:shd w:val="clear" w:color="auto" w:fill="FFFFFF"/>
        </w:rPr>
      </w:pPr>
      <w:r w:rsidRPr="00CC19D7">
        <w:rPr>
          <w:rStyle w:val="Forte"/>
          <w:b w:val="0"/>
          <w:u w:val="single"/>
          <w:shd w:val="clear" w:color="auto" w:fill="FFFFFF"/>
        </w:rPr>
        <w:lastRenderedPageBreak/>
        <w:t>6ª Questão:</w:t>
      </w:r>
      <w:r w:rsidRPr="00CC19D7">
        <w:rPr>
          <w:rStyle w:val="Forte"/>
          <w:b w:val="0"/>
          <w:shd w:val="clear" w:color="auto" w:fill="FFFFFF"/>
        </w:rPr>
        <w:t>  </w:t>
      </w:r>
      <w:r w:rsidRPr="00CC19D7">
        <w:rPr>
          <w:shd w:val="clear" w:color="auto" w:fill="FFFFFF"/>
        </w:rPr>
        <w:t xml:space="preserve">O projeto C181002-PB-EST-DE-004-00 determina que as estacas primárias </w:t>
      </w:r>
      <w:proofErr w:type="gramStart"/>
      <w:r w:rsidRPr="00CC19D7">
        <w:rPr>
          <w:shd w:val="clear" w:color="auto" w:fill="FFFFFF"/>
        </w:rPr>
        <w:t>devem</w:t>
      </w:r>
      <w:proofErr w:type="gramEnd"/>
      <w:r w:rsidRPr="00CC19D7">
        <w:rPr>
          <w:shd w:val="clear" w:color="auto" w:fill="FFFFFF"/>
        </w:rPr>
        <w:t xml:space="preserve"> ser perfuradas para a fixação de 6 ferros de 16mm com  </w:t>
      </w:r>
      <w:proofErr w:type="spellStart"/>
      <w:r w:rsidRPr="00CC19D7">
        <w:rPr>
          <w:shd w:val="clear" w:color="auto" w:fill="FFFFFF"/>
        </w:rPr>
        <w:t>embutimento</w:t>
      </w:r>
      <w:proofErr w:type="spellEnd"/>
      <w:r w:rsidRPr="00CC19D7">
        <w:rPr>
          <w:shd w:val="clear" w:color="auto" w:fill="FFFFFF"/>
        </w:rPr>
        <w:t xml:space="preserve"> de 55 cm que  serão fixados com adesivo estrutural tipo </w:t>
      </w:r>
      <w:proofErr w:type="spellStart"/>
      <w:r w:rsidRPr="00CC19D7">
        <w:rPr>
          <w:shd w:val="clear" w:color="auto" w:fill="FFFFFF"/>
        </w:rPr>
        <w:t>Sikadur</w:t>
      </w:r>
      <w:proofErr w:type="spellEnd"/>
      <w:r w:rsidRPr="00CC19D7">
        <w:rPr>
          <w:shd w:val="clear" w:color="auto" w:fill="FFFFFF"/>
        </w:rPr>
        <w:t xml:space="preserve"> 31. Solicitamos informar em qual item foram consideradas a perfuração e a fixação com adesivo?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Esclarecimento:</w:t>
      </w:r>
    </w:p>
    <w:p w:rsidR="00A27041" w:rsidRPr="00CC19D7" w:rsidRDefault="00A27041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 colocação da armação após a concretagem (perfuração)</w:t>
      </w:r>
      <w:proofErr w:type="gramStart"/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, se encontra</w:t>
      </w:r>
      <w:proofErr w:type="gramEnd"/>
      <w:r w:rsidRPr="00CC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contemplado no item 3.3 da planilha CONTENÇÃO. E a fixação das barras se encontra no item 3.8 da planilha CONTENÇÃO.</w:t>
      </w: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A27041" w:rsidRPr="00CC19D7" w:rsidRDefault="00A27041" w:rsidP="00CC19D7">
      <w:pPr>
        <w:pStyle w:val="NormalWeb"/>
        <w:shd w:val="clear" w:color="auto" w:fill="FFFFFF"/>
        <w:jc w:val="both"/>
      </w:pPr>
      <w:r w:rsidRPr="00CC19D7">
        <w:rPr>
          <w:rStyle w:val="Forte"/>
          <w:b w:val="0"/>
          <w:u w:val="single"/>
        </w:rPr>
        <w:t>7ª Questão</w:t>
      </w:r>
      <w:r w:rsidRPr="00CC19D7">
        <w:t xml:space="preserve">: Solicitamos informar como foi calculado o quantitativo (933,8 UR) do item 4.1 referente </w:t>
      </w:r>
      <w:proofErr w:type="gramStart"/>
      <w:r w:rsidRPr="00CC19D7">
        <w:t>a</w:t>
      </w:r>
      <w:proofErr w:type="gramEnd"/>
      <w:r w:rsidRPr="00CC19D7">
        <w:t xml:space="preserve"> "Unidade de referência para complemento da administração" (EMOP 05.100.0900-0).</w:t>
      </w:r>
    </w:p>
    <w:p w:rsidR="00CC19D7" w:rsidRPr="00005891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0058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Esclarecimento:</w:t>
      </w:r>
    </w:p>
    <w:p w:rsidR="00CC19D7" w:rsidRPr="00005891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0058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 fórmula do calculo da UR encontra-se na Planilha de Orçamento em formato EXCEL na aba “MC Canteiro de Obra” </w:t>
      </w:r>
      <w:r w:rsidR="00005891" w:rsidRPr="000058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linha 122, </w:t>
      </w:r>
      <w:r w:rsidRPr="000058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do Anexo II do Edital. </w:t>
      </w:r>
    </w:p>
    <w:p w:rsid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CC19D7" w:rsidRPr="00CC19D7" w:rsidRDefault="00CC19D7" w:rsidP="00CC19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1D37EA" w:rsidRPr="00CC19D7" w:rsidRDefault="001D37EA" w:rsidP="00CC19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7EA" w:rsidRPr="00CC1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CF3"/>
    <w:multiLevelType w:val="multilevel"/>
    <w:tmpl w:val="55D65A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3D5004"/>
    <w:multiLevelType w:val="hybridMultilevel"/>
    <w:tmpl w:val="C86694B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3"/>
    <w:rsid w:val="00005891"/>
    <w:rsid w:val="001D37EA"/>
    <w:rsid w:val="0033596B"/>
    <w:rsid w:val="003B1241"/>
    <w:rsid w:val="00513113"/>
    <w:rsid w:val="005725E8"/>
    <w:rsid w:val="0093043F"/>
    <w:rsid w:val="00A27041"/>
    <w:rsid w:val="00CC19D7"/>
    <w:rsid w:val="00D068CA"/>
    <w:rsid w:val="00EB7D5A"/>
    <w:rsid w:val="00F67478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7041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7041"/>
    <w:rPr>
      <w:b/>
      <w:bCs/>
    </w:rPr>
  </w:style>
  <w:style w:type="character" w:customStyle="1" w:styleId="Ttulo1Char">
    <w:name w:val="Título 1 Char"/>
    <w:basedOn w:val="Fontepargpadro"/>
    <w:link w:val="Ttulo1"/>
    <w:rsid w:val="00A2704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Normal1">
    <w:name w:val="Normal1"/>
    <w:rsid w:val="00A27041"/>
    <w:pPr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7041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7041"/>
    <w:rPr>
      <w:b/>
      <w:bCs/>
    </w:rPr>
  </w:style>
  <w:style w:type="character" w:customStyle="1" w:styleId="Ttulo1Char">
    <w:name w:val="Título 1 Char"/>
    <w:basedOn w:val="Fontepargpadro"/>
    <w:link w:val="Ttulo1"/>
    <w:rsid w:val="00A2704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Normal1">
    <w:name w:val="Normal1"/>
    <w:rsid w:val="00A27041"/>
    <w:pPr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2021-10-28T14:52:00Z</dcterms:created>
  <dcterms:modified xsi:type="dcterms:W3CDTF">2021-10-28T14:52:00Z</dcterms:modified>
</cp:coreProperties>
</file>